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仿宋" w:hAnsi="仿宋" w:eastAsia="仿宋" w:cs="仿宋"/>
          <w:b/>
          <w:sz w:val="32"/>
          <w:szCs w:val="32"/>
        </w:rPr>
      </w:pPr>
      <w:r>
        <w:rPr>
          <w:rFonts w:hint="eastAsia" w:ascii="仿宋" w:hAnsi="仿宋" w:eastAsia="仿宋" w:cs="仿宋"/>
          <w:b/>
          <w:sz w:val="32"/>
          <w:szCs w:val="32"/>
        </w:rPr>
        <w:t>河南新科隆电器有限公司食堂和超市</w:t>
      </w:r>
    </w:p>
    <w:p>
      <w:pPr>
        <w:spacing w:line="220" w:lineRule="atLeast"/>
        <w:jc w:val="center"/>
        <w:rPr>
          <w:rFonts w:hint="eastAsia" w:ascii="仿宋" w:hAnsi="仿宋" w:eastAsia="仿宋" w:cs="仿宋"/>
          <w:b/>
          <w:sz w:val="32"/>
          <w:szCs w:val="32"/>
        </w:rPr>
      </w:pPr>
      <w:r>
        <w:rPr>
          <w:rFonts w:hint="eastAsia" w:ascii="仿宋" w:hAnsi="仿宋" w:eastAsia="仿宋" w:cs="仿宋"/>
          <w:b/>
          <w:sz w:val="32"/>
          <w:szCs w:val="32"/>
        </w:rPr>
        <w:t>承包经营权项目公开招标公告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为吸引社会优质资源经营我司食堂、超市，提高服务质量，满足员工需求，经公司研究决定，以公开招标的形式向社会招聘合法经营、资质信誉好、业绩优良的餐饮业承包经营公司食堂、超市。现公告如下：</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一、招标项目及技术要求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新科隆公司电器有限公司食堂和超市承包经营权，技术要求详见附件一。</w:t>
      </w:r>
    </w:p>
    <w:p>
      <w:pPr>
        <w:numPr>
          <w:ilvl w:val="0"/>
          <w:numId w:val="1"/>
        </w:numPr>
        <w:spacing w:line="360" w:lineRule="auto"/>
        <w:rPr>
          <w:rFonts w:hint="eastAsia" w:ascii="仿宋" w:hAnsi="仿宋" w:eastAsia="仿宋" w:cs="仿宋"/>
          <w:b/>
          <w:sz w:val="28"/>
          <w:szCs w:val="28"/>
        </w:rPr>
      </w:pPr>
      <w:r>
        <w:rPr>
          <w:rFonts w:hint="eastAsia" w:ascii="仿宋" w:hAnsi="仿宋" w:eastAsia="仿宋" w:cs="仿宋"/>
          <w:b/>
          <w:sz w:val="28"/>
          <w:szCs w:val="28"/>
        </w:rPr>
        <w:t>投标物</w:t>
      </w:r>
    </w:p>
    <w:p>
      <w:pPr>
        <w:numPr>
          <w:ilvl w:val="0"/>
          <w:numId w:val="0"/>
        </w:numPr>
        <w:spacing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新科隆食堂及超市投标项目</w:t>
      </w:r>
    </w:p>
    <w:tbl>
      <w:tblPr>
        <w:tblStyle w:val="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79"/>
        <w:gridCol w:w="2335"/>
        <w:gridCol w:w="238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21" w:type="dxa"/>
            <w:shd w:val="clear" w:color="auto" w:fill="BEBEBE" w:themeFill="background1" w:themeFillShade="BF"/>
            <w:vAlign w:val="center"/>
          </w:tcPr>
          <w:p>
            <w:pPr>
              <w:spacing w:after="0"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1479" w:type="dxa"/>
            <w:shd w:val="clear" w:color="auto" w:fill="BEBEBE" w:themeFill="background1" w:themeFillShade="BF"/>
            <w:vAlign w:val="center"/>
          </w:tcPr>
          <w:p>
            <w:pPr>
              <w:spacing w:after="0"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投标项目</w:t>
            </w:r>
          </w:p>
        </w:tc>
        <w:tc>
          <w:tcPr>
            <w:tcW w:w="2335" w:type="dxa"/>
            <w:shd w:val="clear" w:color="auto" w:fill="BEBEBE" w:themeFill="background1" w:themeFillShade="BF"/>
            <w:vAlign w:val="center"/>
          </w:tcPr>
          <w:p>
            <w:pPr>
              <w:spacing w:after="0"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操作间</w:t>
            </w:r>
          </w:p>
        </w:tc>
        <w:tc>
          <w:tcPr>
            <w:tcW w:w="2387" w:type="dxa"/>
            <w:shd w:val="clear" w:color="auto" w:fill="BEBEBE" w:themeFill="background1" w:themeFillShade="BF"/>
            <w:vAlign w:val="center"/>
          </w:tcPr>
          <w:p>
            <w:pPr>
              <w:spacing w:after="0" w:line="360" w:lineRule="auto"/>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窗口</w:t>
            </w:r>
          </w:p>
        </w:tc>
        <w:tc>
          <w:tcPr>
            <w:tcW w:w="1981" w:type="dxa"/>
            <w:shd w:val="clear" w:color="auto" w:fill="BEBEBE" w:themeFill="background1" w:themeFillShade="BF"/>
            <w:vAlign w:val="center"/>
          </w:tcPr>
          <w:p>
            <w:pPr>
              <w:spacing w:after="0" w:line="36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就餐区域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p>
            <w:pPr>
              <w:spacing w:after="0" w:line="360" w:lineRule="auto"/>
              <w:jc w:val="center"/>
              <w:rPr>
                <w:rFonts w:hint="eastAsia" w:ascii="仿宋" w:hAnsi="仿宋" w:eastAsia="仿宋" w:cs="仿宋"/>
                <w:sz w:val="24"/>
                <w:szCs w:val="24"/>
              </w:rPr>
            </w:pPr>
          </w:p>
        </w:tc>
        <w:tc>
          <w:tcPr>
            <w:tcW w:w="1479"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东面食堂</w:t>
            </w:r>
          </w:p>
        </w:tc>
        <w:tc>
          <w:tcPr>
            <w:tcW w:w="2335"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南北宽15.3</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东西长16.5</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面积215.6</w:t>
            </w:r>
            <w:r>
              <w:rPr>
                <w:rFonts w:hint="eastAsia" w:ascii="仿宋" w:hAnsi="仿宋" w:eastAsia="仿宋" w:cs="仿宋"/>
                <w:sz w:val="24"/>
                <w:szCs w:val="24"/>
                <w:lang w:eastAsia="zh-CN"/>
              </w:rPr>
              <w:t>㎡</w:t>
            </w:r>
          </w:p>
        </w:tc>
        <w:tc>
          <w:tcPr>
            <w:tcW w:w="2387"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南北宽15.3</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东西长3.3</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面积50.49</w:t>
            </w:r>
            <w:r>
              <w:rPr>
                <w:rFonts w:hint="eastAsia" w:ascii="仿宋" w:hAnsi="仿宋" w:eastAsia="仿宋" w:cs="仿宋"/>
                <w:sz w:val="24"/>
                <w:szCs w:val="24"/>
                <w:lang w:eastAsia="zh-CN"/>
              </w:rPr>
              <w:t>㎡</w:t>
            </w:r>
          </w:p>
        </w:tc>
        <w:tc>
          <w:tcPr>
            <w:tcW w:w="1981" w:type="dxa"/>
            <w:vMerge w:val="restart"/>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南北宽15.2</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东西长38.4</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面积583.68</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w:t>
            </w:r>
          </w:p>
          <w:p>
            <w:pPr>
              <w:spacing w:after="0" w:line="360" w:lineRule="auto"/>
              <w:jc w:val="center"/>
              <w:rPr>
                <w:rFonts w:hint="eastAsia" w:ascii="仿宋" w:hAnsi="仿宋" w:eastAsia="仿宋" w:cs="仿宋"/>
                <w:sz w:val="24"/>
                <w:szCs w:val="24"/>
              </w:rPr>
            </w:pPr>
          </w:p>
        </w:tc>
        <w:tc>
          <w:tcPr>
            <w:tcW w:w="1479"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西面食堂</w:t>
            </w:r>
          </w:p>
        </w:tc>
        <w:tc>
          <w:tcPr>
            <w:tcW w:w="2335"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南北宽9.2</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东西长6.4</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面积58.9</w:t>
            </w:r>
            <w:r>
              <w:rPr>
                <w:rFonts w:hint="eastAsia" w:ascii="仿宋" w:hAnsi="仿宋" w:eastAsia="仿宋" w:cs="仿宋"/>
                <w:sz w:val="24"/>
                <w:szCs w:val="24"/>
                <w:lang w:eastAsia="zh-CN"/>
              </w:rPr>
              <w:t>㎡</w:t>
            </w:r>
          </w:p>
        </w:tc>
        <w:tc>
          <w:tcPr>
            <w:tcW w:w="2387"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南北宽15.3</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东西长2.4</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面积36.7</w:t>
            </w:r>
            <w:r>
              <w:rPr>
                <w:rFonts w:hint="eastAsia" w:ascii="仿宋" w:hAnsi="仿宋" w:eastAsia="仿宋" w:cs="仿宋"/>
                <w:sz w:val="24"/>
                <w:szCs w:val="24"/>
                <w:lang w:eastAsia="zh-CN"/>
              </w:rPr>
              <w:t>㎡</w:t>
            </w:r>
          </w:p>
        </w:tc>
        <w:tc>
          <w:tcPr>
            <w:tcW w:w="1981" w:type="dxa"/>
            <w:vMerge w:val="continue"/>
            <w:vAlign w:val="center"/>
          </w:tcPr>
          <w:p>
            <w:pPr>
              <w:spacing w:after="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21"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3</w:t>
            </w:r>
          </w:p>
          <w:p>
            <w:pPr>
              <w:spacing w:after="0" w:line="360" w:lineRule="auto"/>
              <w:jc w:val="center"/>
              <w:rPr>
                <w:rFonts w:hint="eastAsia" w:ascii="仿宋" w:hAnsi="仿宋" w:eastAsia="仿宋" w:cs="仿宋"/>
                <w:sz w:val="24"/>
                <w:szCs w:val="24"/>
              </w:rPr>
            </w:pPr>
          </w:p>
        </w:tc>
        <w:tc>
          <w:tcPr>
            <w:tcW w:w="1479"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9号食堂</w:t>
            </w:r>
          </w:p>
        </w:tc>
        <w:tc>
          <w:tcPr>
            <w:tcW w:w="4722" w:type="dxa"/>
            <w:gridSpan w:val="2"/>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南北宽15.6</w:t>
            </w:r>
            <w:r>
              <w:rPr>
                <w:rFonts w:hint="eastAsia" w:ascii="仿宋" w:hAnsi="仿宋" w:eastAsia="仿宋" w:cs="仿宋"/>
                <w:sz w:val="24"/>
                <w:szCs w:val="24"/>
                <w:lang w:val="en-US" w:eastAsia="zh-CN"/>
              </w:rPr>
              <w:t xml:space="preserve">m   </w:t>
            </w:r>
            <w:r>
              <w:rPr>
                <w:rFonts w:hint="eastAsia" w:ascii="仿宋" w:hAnsi="仿宋" w:eastAsia="仿宋" w:cs="仿宋"/>
                <w:sz w:val="24"/>
                <w:szCs w:val="24"/>
              </w:rPr>
              <w:t>东西长3.6</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面积56.16</w:t>
            </w:r>
            <w:r>
              <w:rPr>
                <w:rFonts w:hint="eastAsia" w:ascii="仿宋" w:hAnsi="仿宋" w:eastAsia="仿宋" w:cs="仿宋"/>
                <w:sz w:val="24"/>
                <w:szCs w:val="24"/>
                <w:lang w:eastAsia="zh-CN"/>
              </w:rPr>
              <w:t>㎡</w:t>
            </w:r>
          </w:p>
        </w:tc>
        <w:tc>
          <w:tcPr>
            <w:tcW w:w="1981" w:type="dxa"/>
            <w:vAlign w:val="center"/>
          </w:tcPr>
          <w:p>
            <w:pPr>
              <w:spacing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南北宽15.6</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东西长10.4</w:t>
            </w:r>
            <w:r>
              <w:rPr>
                <w:rFonts w:hint="eastAsia" w:ascii="仿宋" w:hAnsi="仿宋" w:eastAsia="仿宋" w:cs="仿宋"/>
                <w:sz w:val="24"/>
                <w:szCs w:val="24"/>
                <w:lang w:val="en-US" w:eastAsia="zh-CN"/>
              </w:rPr>
              <w:t>m</w:t>
            </w:r>
          </w:p>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面积162.2</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21"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4</w:t>
            </w:r>
          </w:p>
          <w:p>
            <w:pPr>
              <w:spacing w:after="0" w:line="360" w:lineRule="auto"/>
              <w:jc w:val="center"/>
              <w:rPr>
                <w:rFonts w:hint="eastAsia" w:ascii="仿宋" w:hAnsi="仿宋" w:eastAsia="仿宋" w:cs="仿宋"/>
                <w:sz w:val="24"/>
                <w:szCs w:val="24"/>
              </w:rPr>
            </w:pPr>
          </w:p>
        </w:tc>
        <w:tc>
          <w:tcPr>
            <w:tcW w:w="1479" w:type="dxa"/>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食堂内超市</w:t>
            </w:r>
          </w:p>
        </w:tc>
        <w:tc>
          <w:tcPr>
            <w:tcW w:w="6703" w:type="dxa"/>
            <w:gridSpan w:val="3"/>
            <w:vAlign w:val="center"/>
          </w:tcPr>
          <w:p>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南北宽8</w:t>
            </w:r>
            <w:r>
              <w:rPr>
                <w:rFonts w:hint="eastAsia" w:ascii="仿宋" w:hAnsi="仿宋" w:eastAsia="仿宋" w:cs="仿宋"/>
                <w:sz w:val="24"/>
                <w:szCs w:val="24"/>
                <w:lang w:val="en-US" w:eastAsia="zh-CN"/>
              </w:rPr>
              <w:t xml:space="preserve">m    </w:t>
            </w:r>
            <w:r>
              <w:rPr>
                <w:rFonts w:hint="eastAsia" w:ascii="仿宋" w:hAnsi="仿宋" w:eastAsia="仿宋" w:cs="仿宋"/>
                <w:sz w:val="24"/>
                <w:szCs w:val="24"/>
              </w:rPr>
              <w:t>东西长7.2</w:t>
            </w:r>
            <w:r>
              <w:rPr>
                <w:rFonts w:hint="eastAsia" w:ascii="仿宋" w:hAnsi="仿宋" w:eastAsia="仿宋" w:cs="仿宋"/>
                <w:sz w:val="24"/>
                <w:szCs w:val="24"/>
                <w:lang w:val="en-US" w:eastAsia="zh-CN"/>
              </w:rPr>
              <w:t xml:space="preserve">m    </w:t>
            </w:r>
            <w:r>
              <w:rPr>
                <w:rFonts w:hint="eastAsia" w:ascii="仿宋" w:hAnsi="仿宋" w:eastAsia="仿宋" w:cs="仿宋"/>
                <w:sz w:val="24"/>
                <w:szCs w:val="24"/>
              </w:rPr>
              <w:t>面积57.6</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21" w:type="dxa"/>
            <w:vAlign w:val="center"/>
          </w:tcPr>
          <w:p>
            <w:pPr>
              <w:spacing w:after="0" w:line="360" w:lineRule="auto"/>
              <w:jc w:val="center"/>
              <w:rPr>
                <w:rFonts w:hint="eastAsia" w:ascii="仿宋" w:hAnsi="仿宋" w:eastAsia="仿宋" w:cs="仿宋"/>
                <w:sz w:val="24"/>
              </w:rPr>
            </w:pPr>
            <w:r>
              <w:rPr>
                <w:rFonts w:hint="eastAsia" w:ascii="仿宋" w:hAnsi="仿宋" w:eastAsia="仿宋" w:cs="仿宋"/>
                <w:sz w:val="24"/>
              </w:rPr>
              <w:t>5</w:t>
            </w:r>
          </w:p>
        </w:tc>
        <w:tc>
          <w:tcPr>
            <w:tcW w:w="1479" w:type="dxa"/>
            <w:vAlign w:val="center"/>
          </w:tcPr>
          <w:p>
            <w:pPr>
              <w:spacing w:after="0" w:line="360" w:lineRule="auto"/>
              <w:jc w:val="center"/>
              <w:rPr>
                <w:rFonts w:hint="eastAsia" w:ascii="仿宋" w:hAnsi="仿宋" w:eastAsia="仿宋" w:cs="仿宋"/>
                <w:sz w:val="24"/>
              </w:rPr>
            </w:pPr>
            <w:r>
              <w:rPr>
                <w:rFonts w:hint="eastAsia" w:ascii="仿宋" w:hAnsi="仿宋" w:eastAsia="仿宋" w:cs="仿宋"/>
                <w:sz w:val="24"/>
              </w:rPr>
              <w:t>东宿舍超市</w:t>
            </w:r>
          </w:p>
        </w:tc>
        <w:tc>
          <w:tcPr>
            <w:tcW w:w="6703" w:type="dxa"/>
            <w:gridSpan w:val="3"/>
            <w:vAlign w:val="center"/>
          </w:tcPr>
          <w:p>
            <w:pPr>
              <w:spacing w:after="0" w:line="360" w:lineRule="auto"/>
              <w:jc w:val="center"/>
              <w:rPr>
                <w:rFonts w:hint="eastAsia" w:ascii="仿宋" w:hAnsi="仿宋" w:eastAsia="仿宋" w:cs="仿宋"/>
                <w:sz w:val="24"/>
              </w:rPr>
            </w:pPr>
            <w:r>
              <w:rPr>
                <w:rFonts w:hint="eastAsia" w:ascii="仿宋" w:hAnsi="仿宋" w:eastAsia="仿宋" w:cs="仿宋"/>
                <w:sz w:val="24"/>
              </w:rPr>
              <w:t>现用面积67.2</w:t>
            </w:r>
            <w:r>
              <w:rPr>
                <w:rFonts w:hint="eastAsia" w:ascii="仿宋" w:hAnsi="仿宋" w:eastAsia="仿宋" w:cs="仿宋"/>
                <w:sz w:val="24"/>
                <w:szCs w:val="24"/>
                <w:lang w:eastAsia="zh-CN"/>
              </w:rPr>
              <w:t>㎡</w:t>
            </w:r>
          </w:p>
        </w:tc>
      </w:tr>
    </w:tbl>
    <w:p>
      <w:pPr>
        <w:spacing w:line="360" w:lineRule="auto"/>
        <w:rPr>
          <w:rFonts w:hint="eastAsia" w:ascii="仿宋" w:hAnsi="仿宋" w:eastAsia="仿宋" w:cs="仿宋"/>
          <w:b/>
          <w:sz w:val="28"/>
          <w:szCs w:val="28"/>
        </w:rPr>
      </w:pPr>
      <w:r>
        <w:rPr>
          <w:rFonts w:hint="eastAsia" w:ascii="仿宋" w:hAnsi="仿宋" w:eastAsia="仿宋" w:cs="仿宋"/>
          <w:b/>
          <w:sz w:val="28"/>
          <w:szCs w:val="28"/>
        </w:rPr>
        <w:t>三、招标日程安排</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1、招标公告</w:t>
      </w:r>
      <w:r>
        <w:rPr>
          <w:rFonts w:hint="eastAsia" w:ascii="仿宋" w:hAnsi="仿宋" w:eastAsia="仿宋" w:cs="仿宋"/>
          <w:sz w:val="28"/>
          <w:szCs w:val="28"/>
          <w:lang w:eastAsia="zh-CN"/>
        </w:rPr>
        <w:t>：</w:t>
      </w:r>
      <w:r>
        <w:rPr>
          <w:rFonts w:hint="eastAsia" w:ascii="仿宋" w:hAnsi="仿宋" w:eastAsia="仿宋" w:cs="仿宋"/>
          <w:sz w:val="28"/>
          <w:szCs w:val="28"/>
        </w:rPr>
        <w:t>2020年03月18日</w:t>
      </w:r>
      <w:r>
        <w:rPr>
          <w:rFonts w:hint="eastAsia" w:ascii="仿宋" w:hAnsi="仿宋" w:eastAsia="仿宋" w:cs="仿宋"/>
          <w:sz w:val="28"/>
          <w:szCs w:val="28"/>
          <w:lang w:val="en-US" w:eastAsia="zh-CN"/>
        </w:rPr>
        <w:t>-</w:t>
      </w:r>
      <w:r>
        <w:rPr>
          <w:rFonts w:hint="eastAsia" w:ascii="仿宋" w:hAnsi="仿宋" w:eastAsia="仿宋" w:cs="仿宋"/>
          <w:sz w:val="28"/>
          <w:szCs w:val="28"/>
        </w:rPr>
        <w:t>-2020年03月20日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2、报名时间：2020年03月18日</w:t>
      </w:r>
      <w:r>
        <w:rPr>
          <w:rFonts w:hint="eastAsia" w:ascii="仿宋" w:hAnsi="仿宋" w:eastAsia="仿宋" w:cs="仿宋"/>
          <w:sz w:val="28"/>
          <w:szCs w:val="28"/>
          <w:lang w:val="en-US" w:eastAsia="zh-CN"/>
        </w:rPr>
        <w:t>-</w:t>
      </w:r>
      <w:r>
        <w:rPr>
          <w:rFonts w:hint="eastAsia" w:ascii="仿宋" w:hAnsi="仿宋" w:eastAsia="仿宋" w:cs="仿宋"/>
          <w:sz w:val="28"/>
          <w:szCs w:val="28"/>
        </w:rPr>
        <w:t>-2020年03月20日，每日上午8：00-12：00，下午1：30-5：30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3、实地勘察时间：2020年03月18日-2020年03月20日，每日上午8：00-12：00，下午1：30-5：30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4、开标时间：2020年03月21日上午9点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5、开标地点：新乡市红旗区科隆大道甲1号-河南新科隆电器有限公司（办公大楼206室）</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四、投标保证金及履约保证金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1、投标保证金：5000元。未中标单位的保证金在开标后7个工作日内退还（不计利息）。</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保证金：中标后投标保证金将转为履约保证金（履约保证金总额为伍万元，签约时交齐），正常履约且协议期满后全额退还（不计利息）。如中标后不按时签约，或签约后不能履约者，投标保证金、履约保证金将予以没收。</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五、投标方须知及投标文件的组成</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1、投标书正、副本各一份。投标人应将投标文件密封，在封口处加盖投标单位公章。</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2、企业法人营业执照（复印件加盖单位公章）</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3、税务登记证（复印件加盖单位公章）</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4、法人代表证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5、法人授权委托书（原件）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6、报价单（依我司报价单格式进行报价并加盖单位公章，详见附件二）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7、餐饮服务许可证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8、菜谱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9、投标地点：新乡市红旗区科隆大道甲1号-河南新科隆电器有限公司供应链管理部（办公大楼306室）</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10、投标联系人：王洪军       联系电话：18623739793</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六、中标通知书合同的签订及结算方式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1、投标方收到中标通知书，后按照中标通知书规定的时间与招标方签订合同。（时间一般为5年）</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2、结算方式：经公司确认后，每月10-15日现金结算。</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七、防腐条款</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1、招标方人员在招标过程中，不得谋取不当利益，投标方有权举报。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2、如有证据证明或者认为投标方及其工作人员通过贿赂等行为从招标方谋取利益，招标方有权向投标方要求1万元至两万元的赔偿。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3、招标方人员收取投标方贿赂200元以上的，招标方有权取消其投标（中标）资格。（反腐举报电话0373-5068988）</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八、其他约定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1、投标方在投标前向招标方缴纳规定的投标保证金，不缴纳投标保证金者，无资格参加投标。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2、中标方应按照中标通知书规定的时间与招标方签订合同：否则按照弃标处理，没收全部保证金。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3、假冒他人单位名称、商标或品牌者不准投标，发现后按废标处理，并永久性终止合作。</w:t>
      </w:r>
    </w:p>
    <w:p>
      <w:pPr>
        <w:spacing w:line="360" w:lineRule="auto"/>
        <w:rPr>
          <w:rFonts w:hint="default" w:ascii="仿宋" w:hAnsi="仿宋" w:eastAsia="仿宋" w:cs="仿宋"/>
          <w:sz w:val="28"/>
          <w:szCs w:val="28"/>
          <w:lang w:val="en-US" w:eastAsia="zh-CN"/>
        </w:rPr>
      </w:pPr>
    </w:p>
    <w:p>
      <w:pPr>
        <w:spacing w:line="360" w:lineRule="auto"/>
        <w:ind w:firstLine="560" w:firstLineChars="200"/>
        <w:rPr>
          <w:rFonts w:hint="eastAsia" w:ascii="仿宋" w:hAnsi="仿宋" w:eastAsia="仿宋" w:cs="仿宋"/>
          <w:sz w:val="28"/>
          <w:szCs w:val="28"/>
        </w:rPr>
      </w:pPr>
    </w:p>
    <w:p>
      <w:pPr>
        <w:spacing w:line="220" w:lineRule="atLeast"/>
        <w:rPr>
          <w:rFonts w:hint="eastAsia" w:ascii="仿宋" w:hAnsi="仿宋" w:eastAsia="仿宋" w:cs="仿宋"/>
          <w:sz w:val="28"/>
          <w:szCs w:val="28"/>
        </w:rPr>
      </w:pPr>
      <w:r>
        <w:rPr>
          <w:rFonts w:hint="eastAsia" w:ascii="仿宋" w:hAnsi="仿宋" w:eastAsia="仿宋" w:cs="仿宋"/>
          <w:sz w:val="28"/>
          <w:szCs w:val="28"/>
        </w:rPr>
        <w:t xml:space="preserve">                                   河南新科隆电器有限公司</w:t>
      </w:r>
    </w:p>
    <w:p>
      <w:pPr>
        <w:spacing w:line="220" w:lineRule="atLeas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2020年3月17日</w:t>
      </w:r>
      <w:bookmarkStart w:id="0" w:name="_GoBack"/>
      <w:bookmarkEnd w:id="0"/>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360" w:lineRule="auto"/>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附件一：《</w:t>
      </w:r>
      <w:r>
        <w:rPr>
          <w:rFonts w:hint="eastAsia" w:ascii="仿宋" w:hAnsi="仿宋" w:eastAsia="仿宋" w:cs="仿宋"/>
          <w:b w:val="0"/>
          <w:bCs w:val="0"/>
          <w:sz w:val="30"/>
          <w:szCs w:val="30"/>
        </w:rPr>
        <w:t>食堂及超市技术要求</w:t>
      </w:r>
      <w:r>
        <w:rPr>
          <w:rFonts w:hint="eastAsia" w:ascii="仿宋" w:hAnsi="仿宋" w:eastAsia="仿宋" w:cs="仿宋"/>
          <w:b w:val="0"/>
          <w:bCs w:val="0"/>
          <w:sz w:val="28"/>
          <w:szCs w:val="28"/>
          <w:lang w:val="en-US" w:eastAsia="zh-CN"/>
        </w:rPr>
        <w:t>》</w:t>
      </w:r>
    </w:p>
    <w:p>
      <w:pPr>
        <w:spacing w:line="360" w:lineRule="auto"/>
        <w:jc w:val="both"/>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附件二：《</w:t>
      </w:r>
      <w:r>
        <w:rPr>
          <w:rFonts w:hint="eastAsia" w:ascii="仿宋" w:hAnsi="仿宋" w:eastAsia="仿宋" w:cs="仿宋"/>
          <w:b w:val="0"/>
          <w:bCs w:val="0"/>
          <w:sz w:val="28"/>
          <w:szCs w:val="28"/>
        </w:rPr>
        <w:t>新科隆食堂及超市承包经营权报价单</w:t>
      </w:r>
      <w:r>
        <w:rPr>
          <w:rFonts w:hint="eastAsia" w:ascii="仿宋" w:hAnsi="仿宋" w:eastAsia="仿宋" w:cs="仿宋"/>
          <w:b w:val="0"/>
          <w:bCs w:val="0"/>
          <w:sz w:val="28"/>
          <w:szCs w:val="28"/>
          <w:lang w:val="en-US" w:eastAsia="zh-CN"/>
        </w:rPr>
        <w:t>》</w:t>
      </w:r>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220" w:lineRule="atLeast"/>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附件一：</w:t>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食堂及超市技术要求</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主要技术参数</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1、投标单位及投标单位法人必须承担中标后承包期内的一切法律责任；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2、承包商供应员工一日四餐（早餐、中餐、晚餐、夜餐），保证员工吃饱;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3、承包商负责准备员工一顿免费工作餐（中餐、夜餐），价格6元</w:t>
      </w:r>
      <w:r>
        <w:rPr>
          <w:rFonts w:hint="eastAsia" w:ascii="仿宋" w:hAnsi="仿宋" w:eastAsia="仿宋" w:cs="仿宋"/>
          <w:sz w:val="28"/>
          <w:szCs w:val="28"/>
          <w:lang w:val="en-US" w:eastAsia="zh-CN"/>
        </w:rPr>
        <w:t>/位</w:t>
      </w:r>
      <w:r>
        <w:rPr>
          <w:rFonts w:hint="eastAsia" w:ascii="仿宋" w:hAnsi="仿宋" w:eastAsia="仿宋" w:cs="仿宋"/>
          <w:sz w:val="28"/>
          <w:szCs w:val="28"/>
        </w:rPr>
        <w:t>，总员工约1200人。保证标准：大米/两荤两素和价格相同的卤面/饺子/包子/面条等花样，具体以每周菜谱为准。还可以准备价格稍高的菜品，由员工选择，费用自理;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4、早、晚餐准备稀饭、馒头、两个素菜或其他快餐，费用由员工自理;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5、食堂工作人员必须提供有效从事食品卫生行业健康证；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6、食堂和超市卫生必须达到国家规定的卫生要求，定期进行消毒，并做好食堂及其周边的卫生保洁工作；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7、对不服从公司及相关部门管理、不执行合同规定要求、经营出售过期或变质食品以及发生食品卫生等安全事故的，公司有权扣除履约保证金直至终止合同。</w:t>
      </w:r>
    </w:p>
    <w:p>
      <w:pPr>
        <w:spacing w:line="360" w:lineRule="auto"/>
        <w:ind w:firstLine="560" w:firstLineChars="200"/>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附件二：</w:t>
      </w:r>
    </w:p>
    <w:p>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新科隆食堂及超市承包经营权报价单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投标项目</w:t>
            </w:r>
          </w:p>
        </w:tc>
        <w:tc>
          <w:tcPr>
            <w:tcW w:w="2131"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年租金</w:t>
            </w:r>
          </w:p>
        </w:tc>
        <w:tc>
          <w:tcPr>
            <w:tcW w:w="2506"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需投装修设备金额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130" w:type="dxa"/>
          </w:tcPr>
          <w:p>
            <w:pPr>
              <w:spacing w:after="0" w:line="360" w:lineRule="auto"/>
              <w:rPr>
                <w:rFonts w:hint="eastAsia" w:ascii="仿宋" w:hAnsi="仿宋" w:eastAsia="仿宋" w:cs="仿宋"/>
                <w:sz w:val="28"/>
                <w:szCs w:val="28"/>
              </w:rPr>
            </w:pPr>
          </w:p>
        </w:tc>
        <w:tc>
          <w:tcPr>
            <w:tcW w:w="2131" w:type="dxa"/>
          </w:tcPr>
          <w:p>
            <w:pPr>
              <w:spacing w:after="0" w:line="360" w:lineRule="auto"/>
              <w:rPr>
                <w:rFonts w:hint="eastAsia" w:ascii="仿宋" w:hAnsi="仿宋" w:eastAsia="仿宋" w:cs="仿宋"/>
                <w:sz w:val="28"/>
                <w:szCs w:val="28"/>
              </w:rPr>
            </w:pPr>
          </w:p>
        </w:tc>
        <w:tc>
          <w:tcPr>
            <w:tcW w:w="2506" w:type="dxa"/>
          </w:tcPr>
          <w:p>
            <w:pPr>
              <w:spacing w:after="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130" w:type="dxa"/>
          </w:tcPr>
          <w:p>
            <w:pPr>
              <w:spacing w:after="0" w:line="360" w:lineRule="auto"/>
              <w:rPr>
                <w:rFonts w:hint="eastAsia" w:ascii="仿宋" w:hAnsi="仿宋" w:eastAsia="仿宋" w:cs="仿宋"/>
                <w:sz w:val="28"/>
                <w:szCs w:val="28"/>
              </w:rPr>
            </w:pPr>
          </w:p>
        </w:tc>
        <w:tc>
          <w:tcPr>
            <w:tcW w:w="2131" w:type="dxa"/>
          </w:tcPr>
          <w:p>
            <w:pPr>
              <w:spacing w:after="0" w:line="360" w:lineRule="auto"/>
              <w:rPr>
                <w:rFonts w:hint="eastAsia" w:ascii="仿宋" w:hAnsi="仿宋" w:eastAsia="仿宋" w:cs="仿宋"/>
                <w:sz w:val="28"/>
                <w:szCs w:val="28"/>
              </w:rPr>
            </w:pPr>
          </w:p>
        </w:tc>
        <w:tc>
          <w:tcPr>
            <w:tcW w:w="2506" w:type="dxa"/>
          </w:tcPr>
          <w:p>
            <w:pPr>
              <w:spacing w:after="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130" w:type="dxa"/>
          </w:tcPr>
          <w:p>
            <w:pPr>
              <w:spacing w:after="0" w:line="360" w:lineRule="auto"/>
              <w:rPr>
                <w:rFonts w:hint="eastAsia" w:ascii="仿宋" w:hAnsi="仿宋" w:eastAsia="仿宋" w:cs="仿宋"/>
                <w:sz w:val="28"/>
                <w:szCs w:val="28"/>
              </w:rPr>
            </w:pPr>
          </w:p>
        </w:tc>
        <w:tc>
          <w:tcPr>
            <w:tcW w:w="2131" w:type="dxa"/>
          </w:tcPr>
          <w:p>
            <w:pPr>
              <w:spacing w:after="0" w:line="360" w:lineRule="auto"/>
              <w:rPr>
                <w:rFonts w:hint="eastAsia" w:ascii="仿宋" w:hAnsi="仿宋" w:eastAsia="仿宋" w:cs="仿宋"/>
                <w:sz w:val="28"/>
                <w:szCs w:val="28"/>
              </w:rPr>
            </w:pPr>
          </w:p>
        </w:tc>
        <w:tc>
          <w:tcPr>
            <w:tcW w:w="2506" w:type="dxa"/>
          </w:tcPr>
          <w:p>
            <w:pPr>
              <w:spacing w:after="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130" w:type="dxa"/>
          </w:tcPr>
          <w:p>
            <w:pPr>
              <w:spacing w:after="0" w:line="360" w:lineRule="auto"/>
              <w:rPr>
                <w:rFonts w:hint="eastAsia" w:ascii="仿宋" w:hAnsi="仿宋" w:eastAsia="仿宋" w:cs="仿宋"/>
                <w:sz w:val="28"/>
                <w:szCs w:val="28"/>
              </w:rPr>
            </w:pPr>
          </w:p>
        </w:tc>
        <w:tc>
          <w:tcPr>
            <w:tcW w:w="2131" w:type="dxa"/>
          </w:tcPr>
          <w:p>
            <w:pPr>
              <w:spacing w:after="0" w:line="360" w:lineRule="auto"/>
              <w:rPr>
                <w:rFonts w:hint="eastAsia" w:ascii="仿宋" w:hAnsi="仿宋" w:eastAsia="仿宋" w:cs="仿宋"/>
                <w:sz w:val="28"/>
                <w:szCs w:val="28"/>
              </w:rPr>
            </w:pPr>
          </w:p>
        </w:tc>
        <w:tc>
          <w:tcPr>
            <w:tcW w:w="2506" w:type="dxa"/>
          </w:tcPr>
          <w:p>
            <w:pPr>
              <w:spacing w:after="0"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after="0"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2130" w:type="dxa"/>
          </w:tcPr>
          <w:p>
            <w:pPr>
              <w:spacing w:after="0" w:line="360" w:lineRule="auto"/>
              <w:rPr>
                <w:rFonts w:hint="eastAsia" w:ascii="仿宋" w:hAnsi="仿宋" w:eastAsia="仿宋" w:cs="仿宋"/>
                <w:sz w:val="28"/>
                <w:szCs w:val="28"/>
              </w:rPr>
            </w:pPr>
          </w:p>
        </w:tc>
        <w:tc>
          <w:tcPr>
            <w:tcW w:w="2131" w:type="dxa"/>
          </w:tcPr>
          <w:p>
            <w:pPr>
              <w:spacing w:after="0" w:line="360" w:lineRule="auto"/>
              <w:rPr>
                <w:rFonts w:hint="eastAsia" w:ascii="仿宋" w:hAnsi="仿宋" w:eastAsia="仿宋" w:cs="仿宋"/>
                <w:sz w:val="28"/>
                <w:szCs w:val="28"/>
              </w:rPr>
            </w:pPr>
          </w:p>
        </w:tc>
        <w:tc>
          <w:tcPr>
            <w:tcW w:w="2506" w:type="dxa"/>
          </w:tcPr>
          <w:p>
            <w:pPr>
              <w:spacing w:after="0" w:line="360" w:lineRule="auto"/>
              <w:rPr>
                <w:rFonts w:hint="eastAsia" w:ascii="仿宋" w:hAnsi="仿宋" w:eastAsia="仿宋" w:cs="仿宋"/>
                <w:sz w:val="28"/>
                <w:szCs w:val="28"/>
              </w:rPr>
            </w:pPr>
          </w:p>
        </w:tc>
      </w:tr>
    </w:tbl>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备注：设备可为二手设备。装修设备投入金额中标后，可与公司协商解决，原则上不高于上次协商解决方案。</w:t>
      </w:r>
      <w:r>
        <w:rPr>
          <w:rFonts w:hint="eastAsia" w:ascii="仿宋" w:hAnsi="仿宋" w:eastAsia="仿宋" w:cs="仿宋"/>
          <w:sz w:val="28"/>
          <w:szCs w:val="28"/>
        </w:rPr>
        <w:tab/>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p>
    <w:sectPr>
      <w:headerReference r:id="rId3" w:type="default"/>
      <w:pgSz w:w="11906" w:h="16838"/>
      <w:pgMar w:top="1000" w:right="1797" w:bottom="1247" w:left="1797" w:header="709" w:footer="85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sz w:val="21"/>
      </w:rPr>
    </w:pPr>
    <w:r>
      <w:rPr>
        <w:i/>
        <w:iCs/>
        <w:color w:val="999999"/>
      </w:rPr>
      <w:drawing>
        <wp:inline distT="0" distB="0" distL="114300" distR="114300">
          <wp:extent cx="1371600" cy="381000"/>
          <wp:effectExtent l="0" t="0" r="0" b="0"/>
          <wp:docPr id="1" name="图片 1" descr="文件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头"/>
                  <pic:cNvPicPr>
                    <a:picLocks noChangeAspect="1"/>
                  </pic:cNvPicPr>
                </pic:nvPicPr>
                <pic:blipFill>
                  <a:blip r:embed="rId1"/>
                  <a:stretch>
                    <a:fillRect/>
                  </a:stretch>
                </pic:blipFill>
                <pic:spPr>
                  <a:xfrm>
                    <a:off x="0" y="0"/>
                    <a:ext cx="1371600" cy="381000"/>
                  </a:xfrm>
                  <a:prstGeom prst="rect">
                    <a:avLst/>
                  </a:prstGeom>
                  <a:noFill/>
                  <a:ln>
                    <a:noFill/>
                  </a:ln>
                </pic:spPr>
              </pic:pic>
            </a:graphicData>
          </a:graphic>
        </wp:inline>
      </w:drawing>
    </w:r>
    <w:r>
      <w:rPr>
        <w:rFonts w:hint="eastAsia"/>
        <w:i/>
        <w:iCs/>
        <w:color w:val="999999"/>
      </w:rPr>
      <w:t xml:space="preserve">                                                              </w:t>
    </w:r>
    <w:r>
      <w:rPr>
        <w:rFonts w:hint="eastAsia" w:ascii="宋体" w:hAnsi="宋体" w:eastAsia="宋体"/>
        <w:i/>
        <w:iCs/>
        <w:color w:val="999999"/>
      </w:rPr>
      <w:t xml:space="preserve">  </w:t>
    </w:r>
    <w:r>
      <w:rPr>
        <w:rFonts w:hint="eastAsia" w:ascii="宋体" w:hAnsi="宋体" w:eastAsia="宋体"/>
        <w:b/>
        <w:bCs/>
        <w:color w:val="999999"/>
        <w:sz w:val="21"/>
      </w:rPr>
      <w:t>河南新科隆电器有限公司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962D80"/>
    <w:multiLevelType w:val="singleLevel"/>
    <w:tmpl w:val="C1962D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1A2807"/>
    <w:rsid w:val="001F3245"/>
    <w:rsid w:val="00323B43"/>
    <w:rsid w:val="003D37D8"/>
    <w:rsid w:val="00426133"/>
    <w:rsid w:val="004358AB"/>
    <w:rsid w:val="005C169A"/>
    <w:rsid w:val="0078785B"/>
    <w:rsid w:val="008B7726"/>
    <w:rsid w:val="00927353"/>
    <w:rsid w:val="00C06F63"/>
    <w:rsid w:val="00D31D50"/>
    <w:rsid w:val="00F257A8"/>
    <w:rsid w:val="0C085796"/>
    <w:rsid w:val="51CB19EA"/>
    <w:rsid w:val="5C4D20C0"/>
    <w:rsid w:val="63C0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1"/>
    <w:semiHidden/>
    <w:unhideWhenUsed/>
    <w:qFormat/>
    <w:uiPriority w:val="99"/>
    <w:pPr>
      <w:tabs>
        <w:tab w:val="center" w:pos="4153"/>
        <w:tab w:val="right" w:pos="8306"/>
      </w:tabs>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jc w:val="center"/>
    </w:pPr>
    <w:rPr>
      <w:sz w:val="18"/>
      <w:szCs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Hyperlink"/>
    <w:basedOn w:val="7"/>
    <w:semiHidden/>
    <w:unhideWhenUsed/>
    <w:qFormat/>
    <w:uiPriority w:val="99"/>
    <w:rPr>
      <w:color w:val="333333"/>
      <w:u w:val="none"/>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semiHidden/>
    <w:qFormat/>
    <w:uiPriority w:val="99"/>
    <w:rPr>
      <w:rFonts w:ascii="Tahoma" w:hAnsi="Tahoma"/>
      <w:sz w:val="18"/>
      <w:szCs w:val="18"/>
    </w:rPr>
  </w:style>
  <w:style w:type="character" w:customStyle="1" w:styleId="12">
    <w:name w:val="批注框文本 Char"/>
    <w:basedOn w:val="7"/>
    <w:link w:val="2"/>
    <w:semiHidden/>
    <w:qFormat/>
    <w:uiPriority w:val="99"/>
    <w:rPr>
      <w:rFonts w:ascii="Tahoma" w:hAnsi="Tahoma"/>
      <w:sz w:val="18"/>
      <w:szCs w:val="18"/>
    </w:rPr>
  </w:style>
  <w:style w:type="character" w:customStyle="1" w:styleId="13">
    <w:name w:val="pagebox_pre_nolink"/>
    <w:basedOn w:val="7"/>
    <w:qFormat/>
    <w:uiPriority w:val="0"/>
    <w:rPr>
      <w:color w:val="999999"/>
      <w:bdr w:val="single" w:color="DDDDDD" w:sz="6" w:space="0"/>
    </w:rPr>
  </w:style>
  <w:style w:type="character" w:customStyle="1" w:styleId="14">
    <w:name w:val="pagebox_num_nonce"/>
    <w:basedOn w:val="7"/>
    <w:qFormat/>
    <w:uiPriority w:val="0"/>
    <w:rPr>
      <w:color w:val="FFFFFF"/>
      <w:bdr w:val="single" w:color="AB0101" w:sz="6" w:space="0"/>
      <w:shd w:val="clear" w:fill="D20001"/>
    </w:rPr>
  </w:style>
  <w:style w:type="character" w:customStyle="1" w:styleId="15">
    <w:name w:val="pagebox_num_ellipsis"/>
    <w:basedOn w:val="7"/>
    <w:qFormat/>
    <w:uiPriority w:val="0"/>
    <w:rPr>
      <w:color w:val="393733"/>
    </w:rPr>
  </w:style>
  <w:style w:type="character" w:customStyle="1" w:styleId="16">
    <w:name w:val="pagebox_next_nolink"/>
    <w:basedOn w:val="7"/>
    <w:qFormat/>
    <w:uiPriority w:val="0"/>
    <w:rPr>
      <w:color w:val="999999"/>
      <w:bdr w:val="single" w:color="DDDDDD"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349</Words>
  <Characters>1991</Characters>
  <Lines>16</Lines>
  <Paragraphs>4</Paragraphs>
  <TotalTime>1</TotalTime>
  <ScaleCrop>false</ScaleCrop>
  <LinksUpToDate>false</LinksUpToDate>
  <CharactersWithSpaces>2336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Feishi</cp:lastModifiedBy>
  <dcterms:modified xsi:type="dcterms:W3CDTF">2020-03-17T10:26:41Z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